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X射线光电子能谱仪（</w:t>
      </w:r>
      <w:r>
        <w:rPr>
          <w:rStyle w:val="8"/>
          <w:rFonts w:ascii="微软雅黑" w:hAnsi="微软雅黑" w:eastAsia="微软雅黑"/>
        </w:rPr>
        <w:t>XPS</w:t>
      </w:r>
      <w:r>
        <w:rPr>
          <w:rStyle w:val="8"/>
          <w:rFonts w:hint="eastAsia" w:ascii="微软雅黑" w:hAnsi="微软雅黑" w:eastAsia="微软雅黑"/>
        </w:rPr>
        <w:t>）测试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3260"/>
        <w:gridCol w:w="1134"/>
        <w:gridCol w:w="2657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1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 xml:space="preserve">粉末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薄膜/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块状样品请注意标记并说明测试面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样品是否有磁性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无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弱磁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（磁铁吸不上来）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强磁（磁铁能吸上来）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样品表面元素价态分析；元素半定量；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；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可自行于横线处补充；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测试元素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默认测试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C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元素；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  <w:szCs w:val="24"/>
              </w:rPr>
              <w:t>待测元素有哪些含量比较低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szCs w:val="24"/>
              </w:rPr>
              <w:t>？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4"/>
              </w:rPr>
              <w:t>（含量低的元素测试结果毛刺会比较明显！尤其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kern w:val="2"/>
                <w:sz w:val="21"/>
                <w:szCs w:val="21"/>
                <w:shd w:val="clear" w:color="auto" w:fill="FFFFFF"/>
              </w:rPr>
              <w:t>小于1%的元素可能测不出明显信号！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68" w:hRule="atLeast"/>
        </w:trP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是否需要其他测试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刻蚀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价带谱即VB-XPS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俄歇谱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可自行于横线处补充；同时说明具体要求；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6096"/>
    <w:rsid w:val="00530F46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279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299</Characters>
  <Lines>3</Lines>
  <Paragraphs>1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2023-05-28T08:50:00Z</dcterms:created>
  <dc:creator>Administrator</dc:creator>
  <cp:lastModifiedBy>Sciclubs~黄飞</cp:lastModifiedBy>
  <dcterms:modified xsi:type="dcterms:W3CDTF">2023-07-04T06:32:40Z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E54763CA9F7441CC8756A0138A81111B_12</vt:lpwstr>
  </property>
</Properties>
</file>